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木垒哈萨克自治县第二幼儿园</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幼儿园负责为学龄前儿童提供保育和教育服务。</w:t>
      </w:r>
    </w:p>
    <w:p>
      <w:pPr>
        <w:ind w:firstLine="640" w:firstLineChars="200"/>
        <w:jc w:val="left"/>
        <w:rPr>
          <w:rFonts w:ascii="仿宋_GB2312" w:eastAsia="仿宋_GB2312"/>
          <w:sz w:val="32"/>
          <w:szCs w:val="32"/>
        </w:rPr>
      </w:pPr>
      <w:r>
        <w:rPr>
          <w:rFonts w:hint="eastAsia" w:ascii="仿宋_GB2312" w:hAnsi="黑体" w:eastAsia="仿宋_GB2312" w:cs="宋体"/>
          <w:bCs/>
          <w:kern w:val="0"/>
          <w:sz w:val="32"/>
          <w:szCs w:val="32"/>
        </w:rPr>
        <w:t>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r>
        <w:rPr>
          <w:rFonts w:hint="eastAsia" w:ascii="仿宋_GB2312" w:eastAsia="仿宋_GB2312"/>
          <w:sz w:val="32"/>
          <w:szCs w:val="32"/>
        </w:rPr>
        <w:t>。</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木垒哈萨克自治县第二幼儿园2023年度，实有人数</w:t>
      </w:r>
      <w:r>
        <w:rPr>
          <w:rFonts w:hint="eastAsia" w:ascii="仿宋_GB2312" w:eastAsia="仿宋_GB2312"/>
          <w:sz w:val="32"/>
          <w:szCs w:val="32"/>
          <w:lang w:val="zh-CN"/>
        </w:rPr>
        <w:t>23</w:t>
      </w:r>
      <w:r>
        <w:rPr>
          <w:rFonts w:hint="eastAsia" w:ascii="仿宋_GB2312" w:eastAsia="仿宋_GB2312"/>
          <w:sz w:val="32"/>
          <w:szCs w:val="32"/>
        </w:rPr>
        <w:t>人，其中：在职人员</w:t>
      </w:r>
      <w:r>
        <w:rPr>
          <w:rFonts w:hint="eastAsia" w:ascii="仿宋_GB2312" w:eastAsia="仿宋_GB2312"/>
          <w:sz w:val="32"/>
          <w:szCs w:val="32"/>
          <w:lang w:val="zh-CN"/>
        </w:rPr>
        <w:t>23</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0</w:t>
      </w:r>
      <w:r>
        <w:rPr>
          <w:rFonts w:hint="eastAsia" w:ascii="仿宋_GB2312" w:eastAsia="仿宋_GB2312"/>
          <w:sz w:val="32"/>
          <w:szCs w:val="32"/>
        </w:rPr>
        <w:t>人。</w:t>
      </w:r>
    </w:p>
    <w:p>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4</w:t>
      </w:r>
      <w:r>
        <w:rPr>
          <w:rFonts w:hint="eastAsia" w:ascii="仿宋_GB2312" w:hAnsi="黑体" w:eastAsia="仿宋_GB2312" w:cs="宋体"/>
          <w:bCs/>
          <w:kern w:val="0"/>
          <w:sz w:val="32"/>
          <w:szCs w:val="32"/>
        </w:rPr>
        <w:t>个处室，分别是：</w:t>
      </w:r>
      <w:r>
        <w:rPr>
          <w:rFonts w:hint="eastAsia" w:ascii="仿宋_GB2312" w:hAnsi="仿宋" w:eastAsia="仿宋_GB2312"/>
          <w:sz w:val="32"/>
          <w:szCs w:val="32"/>
        </w:rPr>
        <w:t>教务室、总务室、财务室、德育室</w:t>
      </w:r>
      <w:r>
        <w:rPr>
          <w:rFonts w:hint="eastAsia" w:ascii="仿宋_GB2312" w:hAnsi="宋体" w:eastAsia="仿宋_GB2312" w:cs="宋体"/>
          <w:kern w:val="0"/>
          <w:sz w:val="32"/>
          <w:szCs w:val="32"/>
        </w:rPr>
        <w:t>。</w:t>
      </w:r>
    </w:p>
    <w:p>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2023年度收入总计516.42万元，其中：本年收入合计496.00万元，使用非财政拨款结余0.00万元，年初结转和结余20.43万元。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2023年度支出总计516.42万元，其中：本年支出合计500.39万元，结余分配0.00万元，年末结转和结余16.03万元。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增加139.60万元</w:t>
      </w:r>
      <w:r>
        <w:rPr>
          <w:rFonts w:hint="eastAsia" w:ascii="仿宋_GB2312" w:eastAsia="仿宋_GB2312"/>
          <w:sz w:val="32"/>
          <w:szCs w:val="32"/>
        </w:rPr>
        <w:t>，增长37.05%，主要原因是：工资福利支出正常调整标准、调整艰苦边远地区津贴增加。</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本年收入496.00万元，其中：财政拨款收入</w:t>
      </w:r>
      <w:r>
        <w:rPr>
          <w:rFonts w:hint="eastAsia" w:ascii="仿宋_GB2312" w:eastAsia="仿宋_GB2312"/>
          <w:sz w:val="32"/>
          <w:szCs w:val="32"/>
          <w:lang w:val="zh-CN"/>
        </w:rPr>
        <w:t>495.94</w:t>
      </w:r>
      <w:r>
        <w:rPr>
          <w:rFonts w:hint="eastAsia" w:ascii="仿宋_GB2312" w:eastAsia="仿宋_GB2312"/>
          <w:sz w:val="32"/>
          <w:szCs w:val="32"/>
        </w:rPr>
        <w:t>万元，占</w:t>
      </w:r>
      <w:r>
        <w:rPr>
          <w:rFonts w:hint="eastAsia" w:ascii="仿宋_GB2312" w:eastAsia="仿宋_GB2312"/>
          <w:sz w:val="32"/>
          <w:szCs w:val="32"/>
          <w:lang w:val="zh-CN"/>
        </w:rPr>
        <w:t>99.99</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0.06</w:t>
      </w:r>
      <w:r>
        <w:rPr>
          <w:rFonts w:hint="eastAsia" w:ascii="仿宋_GB2312" w:eastAsia="仿宋_GB2312"/>
          <w:sz w:val="32"/>
          <w:szCs w:val="32"/>
        </w:rPr>
        <w:t>万元，占</w:t>
      </w:r>
      <w:r>
        <w:rPr>
          <w:rFonts w:hint="eastAsia" w:ascii="仿宋_GB2312" w:eastAsia="仿宋_GB2312"/>
          <w:sz w:val="32"/>
          <w:szCs w:val="32"/>
          <w:lang w:val="zh-CN"/>
        </w:rPr>
        <w:t>0.01</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rPr>
      </w:pPr>
      <w:r>
        <w:rPr>
          <w:rFonts w:hint="eastAsia" w:ascii="仿宋_GB2312" w:eastAsia="仿宋_GB2312"/>
          <w:sz w:val="32"/>
          <w:szCs w:val="32"/>
        </w:rPr>
        <w:t>本年支出500.39万元，其中：基本支出361.80万元，占72.30%；项目支出138.59万元，占27.70%；上缴上级支出0.00万元，占0.00%；经营支出0.00万元，占0.00%；对附属单位补助支出0.00万元，占0.00%。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495.94</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495.94</w:t>
      </w:r>
      <w:r>
        <w:rPr>
          <w:rFonts w:hint="eastAsia" w:ascii="仿宋_GB2312" w:eastAsia="仿宋_GB2312"/>
          <w:sz w:val="32"/>
          <w:szCs w:val="32"/>
        </w:rPr>
        <w:t>万元。财政拨款支出总计</w:t>
      </w:r>
      <w:r>
        <w:rPr>
          <w:rFonts w:hint="eastAsia" w:ascii="仿宋_GB2312" w:eastAsia="仿宋_GB2312"/>
          <w:sz w:val="32"/>
          <w:szCs w:val="32"/>
          <w:lang w:val="zh-CN"/>
        </w:rPr>
        <w:t>495.94</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495.94</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增加131.64万元</w:t>
      </w:r>
      <w:r>
        <w:rPr>
          <w:rFonts w:hint="eastAsia" w:ascii="仿宋_GB2312" w:eastAsia="仿宋_GB2312"/>
          <w:sz w:val="32"/>
          <w:szCs w:val="32"/>
        </w:rPr>
        <w:t>，增长36.14%,主要原因是：工资福利支出正常调整标准、调整艰苦边远地区津贴增加。与年初预算相比，年初预算数</w:t>
      </w:r>
      <w:r>
        <w:rPr>
          <w:rFonts w:hint="eastAsia" w:ascii="仿宋_GB2312" w:eastAsia="仿宋_GB2312"/>
          <w:sz w:val="32"/>
          <w:szCs w:val="32"/>
          <w:lang w:val="zh-CN"/>
        </w:rPr>
        <w:t>378.13</w:t>
      </w:r>
      <w:r>
        <w:rPr>
          <w:rFonts w:hint="eastAsia" w:ascii="仿宋_GB2312" w:eastAsia="仿宋_GB2312"/>
          <w:sz w:val="32"/>
          <w:szCs w:val="32"/>
        </w:rPr>
        <w:t>万元，决算数</w:t>
      </w:r>
      <w:r>
        <w:rPr>
          <w:rFonts w:hint="eastAsia" w:ascii="仿宋_GB2312" w:eastAsia="仿宋_GB2312"/>
          <w:sz w:val="32"/>
          <w:szCs w:val="32"/>
          <w:lang w:val="zh-CN"/>
        </w:rPr>
        <w:t>495.94</w:t>
      </w:r>
      <w:r>
        <w:rPr>
          <w:rFonts w:hint="eastAsia" w:ascii="仿宋_GB2312" w:eastAsia="仿宋_GB2312"/>
          <w:sz w:val="32"/>
          <w:szCs w:val="32"/>
        </w:rPr>
        <w:t>万元，预决算差异率31.16%，主要原因是：追加校园校舍维修维护项目经费。</w:t>
      </w:r>
    </w:p>
    <w:p>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2023年度一般公共预算财政拨款支出495.94万元，占本年支出合计的</w:t>
      </w:r>
      <w:r>
        <w:rPr>
          <w:rFonts w:hint="eastAsia" w:ascii="仿宋_GB2312" w:eastAsia="仿宋_GB2312"/>
          <w:sz w:val="32"/>
          <w:szCs w:val="32"/>
          <w:lang w:val="zh-CN"/>
        </w:rPr>
        <w:t>99.11%</w:t>
      </w:r>
      <w:r>
        <w:rPr>
          <w:rFonts w:hint="eastAsia" w:ascii="仿宋_GB2312" w:eastAsia="仿宋_GB2312"/>
          <w:sz w:val="32"/>
          <w:szCs w:val="32"/>
        </w:rPr>
        <w:t>。与上年相比，</w:t>
      </w:r>
      <w:r>
        <w:rPr>
          <w:rFonts w:hint="eastAsia" w:ascii="仿宋_GB2312" w:eastAsia="仿宋_GB2312"/>
          <w:sz w:val="32"/>
          <w:szCs w:val="32"/>
          <w:lang w:val="zh-CN"/>
        </w:rPr>
        <w:t>增加131.64万元</w:t>
      </w:r>
      <w:r>
        <w:rPr>
          <w:rFonts w:hint="eastAsia" w:ascii="仿宋_GB2312" w:eastAsia="仿宋_GB2312"/>
          <w:sz w:val="32"/>
          <w:szCs w:val="32"/>
        </w:rPr>
        <w:t>，增长36.14%,主要原因是：工资福利支出正常调整标准、调整艰苦边远地区津贴增加。与年初预算相比，年初预算数</w:t>
      </w:r>
      <w:r>
        <w:rPr>
          <w:rFonts w:hint="eastAsia" w:ascii="仿宋_GB2312" w:eastAsia="仿宋_GB2312"/>
          <w:sz w:val="32"/>
          <w:szCs w:val="32"/>
          <w:lang w:val="zh-CN"/>
        </w:rPr>
        <w:t>378.13</w:t>
      </w:r>
      <w:r>
        <w:rPr>
          <w:rFonts w:hint="eastAsia" w:ascii="仿宋_GB2312" w:eastAsia="仿宋_GB2312"/>
          <w:sz w:val="32"/>
          <w:szCs w:val="32"/>
        </w:rPr>
        <w:t>万元，决算数</w:t>
      </w:r>
      <w:r>
        <w:rPr>
          <w:rFonts w:hint="eastAsia" w:ascii="仿宋_GB2312" w:eastAsia="仿宋_GB2312"/>
          <w:sz w:val="32"/>
          <w:szCs w:val="32"/>
          <w:lang w:val="zh-CN"/>
        </w:rPr>
        <w:t>495.94</w:t>
      </w:r>
      <w:r>
        <w:rPr>
          <w:rFonts w:hint="eastAsia" w:ascii="仿宋_GB2312" w:eastAsia="仿宋_GB2312"/>
          <w:sz w:val="32"/>
          <w:szCs w:val="32"/>
        </w:rPr>
        <w:t>万元，预决算差异率</w:t>
      </w:r>
      <w:r>
        <w:rPr>
          <w:rFonts w:hint="eastAsia" w:ascii="仿宋_GB2312" w:eastAsia="仿宋_GB2312"/>
          <w:sz w:val="32"/>
          <w:szCs w:val="32"/>
          <w:lang w:val="zh-CN"/>
        </w:rPr>
        <w:t>31.16%</w:t>
      </w:r>
      <w:r>
        <w:rPr>
          <w:rFonts w:hint="eastAsia" w:ascii="仿宋_GB2312" w:eastAsia="仿宋_GB2312"/>
          <w:sz w:val="32"/>
          <w:szCs w:val="32"/>
        </w:rPr>
        <w:t>，主要原因是：追加校园校舍维修维护项目经费。</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495.94</w:t>
      </w:r>
      <w:r>
        <w:rPr>
          <w:rFonts w:ascii="仿宋_GB2312" w:eastAsia="仿宋_GB2312"/>
          <w:kern w:val="2"/>
          <w:sz w:val="32"/>
          <w:szCs w:val="32"/>
          <w:lang w:val="zh-CN"/>
        </w:rPr>
        <w:t>万元，占</w:t>
      </w:r>
      <w:r>
        <w:rPr>
          <w:rFonts w:hint="eastAsia" w:ascii="仿宋_GB2312" w:eastAsia="仿宋_GB2312"/>
          <w:kern w:val="2"/>
          <w:sz w:val="32"/>
          <w:szCs w:val="32"/>
          <w:lang w:val="zh-CN"/>
        </w:rPr>
        <w:t>100.00</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jc w:val="left"/>
        <w:rPr>
          <w:rFonts w:ascii="仿宋_GB2312" w:eastAsia="仿宋_GB2312"/>
          <w:sz w:val="32"/>
          <w:szCs w:val="32"/>
        </w:rPr>
      </w:pPr>
      <w:r>
        <w:rPr>
          <w:rFonts w:hint="eastAsia" w:ascii="仿宋_GB2312" w:eastAsia="仿宋_GB2312"/>
          <w:sz w:val="32"/>
          <w:szCs w:val="32"/>
        </w:rPr>
        <w:t>1.教育支出（类）普通教育（款）学前教育（项）:支出决算数为495.94万元，比上年决算增加131.63万元，增长36.13%，主要原因是：工资福利支出正常调整标准、调整艰苦边远地区津贴增加。</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357.34万元，其中：人员经费354.39万元，包括：基本工资、津贴补贴、奖金、机关事业单位基本养老保险缴费、职工基本医疗保险缴费、其他社会保障缴费、住房公积金、奖励金。</w:t>
      </w:r>
    </w:p>
    <w:p>
      <w:pPr>
        <w:ind w:firstLine="640" w:firstLineChars="200"/>
        <w:jc w:val="left"/>
        <w:rPr>
          <w:rFonts w:ascii="仿宋_GB2312" w:eastAsia="仿宋_GB2312"/>
          <w:sz w:val="32"/>
          <w:szCs w:val="32"/>
        </w:rPr>
      </w:pPr>
      <w:r>
        <w:rPr>
          <w:rFonts w:hint="eastAsia" w:ascii="仿宋_GB2312" w:eastAsia="仿宋_GB2312"/>
          <w:sz w:val="32"/>
          <w:szCs w:val="32"/>
        </w:rPr>
        <w:t>公用经费2.95万元，包括：电费、邮电费、取暖费。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主要原因是：本年单位无此项支出。其中：因公出国（境）费支出0.00万元，占0.00%，比上年增加0.00万元，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主要原因是：本年单位无此项支出；公务用车购置及运行维护费支出0.00万元，占0.00%，比上年增加0.00万元，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主要原因是：本年单位无此项支出；公务接待费支出0.00万元，占0.00%，比上年增加0.00万元，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主要原因是：本年单位无此项支出。</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因公出国（境）费支出0.00万元，开支内容包括本年单位无此项支出。单位全年安排的因公出国（境）团组0个，因公出国（境）0人次。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本年单位无此项支出。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原因是：无差异。</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公务接待费0.00万元，开支内容包括本年单位无此项支出。单位全年安排的国内公务接待0批次，0人次。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0.00万元，决算数0.00万元，预决算差异率0.00%，主要原因是：本年单位无此项支出；公务用车购置费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w:t>
      </w:r>
    </w:p>
    <w:p>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2023年度木垒哈萨克自治县第二幼儿园（事业单位）公用经费支出2.95万元，比上年增加2.02万元，增长217.20%</w:t>
      </w:r>
      <w:r>
        <w:rPr>
          <w:rFonts w:hint="eastAsia" w:ascii="仿宋_GB2312" w:eastAsia="仿宋_GB2312"/>
          <w:sz w:val="32"/>
          <w:szCs w:val="32"/>
          <w:lang w:eastAsia="zh-CN"/>
        </w:rPr>
        <w:t>，</w:t>
      </w:r>
      <w:r>
        <w:rPr>
          <w:rFonts w:hint="eastAsia" w:ascii="仿宋_GB2312" w:eastAsia="仿宋_GB2312"/>
          <w:sz w:val="32"/>
          <w:szCs w:val="32"/>
        </w:rPr>
        <w:t>主要原因是：本年幼儿园采暖费，邮电费增加。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2023年度政府采购支出总额7.32万元，其中：政府采购货物支出4.87万元、政府采购工程支出0.00万元、政府采购服务支出2.45万元。</w:t>
      </w:r>
    </w:p>
    <w:p>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授予中小企业合同金额7.32万元，占政府采购支出总额的100.00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，其中：授予小微企业合同金额7.32万元，占政府采购支出总额的100.00</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2,023.26万元，房屋6,116.00平方米，价值1,803.41万元。车辆0辆，价值0.00万元，其中：副部（省）级及以上领导用车0辆、主要负责人用车0辆、机要通信用车0辆、应急保障用车0辆、执法执勤用车0辆、特种专业技术用车0辆、离退休干部服务用车0辆、其他用车0辆，其他用车主要是：单位无其他车辆；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516.42</w:t>
      </w:r>
      <w:r>
        <w:rPr>
          <w:rFonts w:hint="eastAsia" w:ascii="仿宋_GB2312" w:eastAsia="仿宋_GB2312"/>
          <w:sz w:val="32"/>
          <w:szCs w:val="32"/>
        </w:rPr>
        <w:t>万元，实际执行总额</w:t>
      </w:r>
      <w:r>
        <w:rPr>
          <w:rFonts w:ascii="仿宋_GB2312" w:eastAsia="仿宋_GB2312"/>
          <w:sz w:val="32"/>
          <w:szCs w:val="32"/>
        </w:rPr>
        <w:t>500.39</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w:t>
      </w:r>
      <w:r>
        <w:rPr>
          <w:rFonts w:hint="eastAsia" w:ascii="仿宋_GB2312" w:hAnsi="宋体" w:eastAsia="仿宋_GB2312"/>
          <w:bCs/>
          <w:sz w:val="32"/>
          <w:szCs w:val="32"/>
        </w:rPr>
        <w:t>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Pr>
          <w:rFonts w:hint="eastAsia" w:ascii="仿宋_GB2312" w:eastAsia="仿宋_GB2312"/>
          <w:sz w:val="32"/>
          <w:szCs w:val="32"/>
        </w:rPr>
        <w:t>；二是</w:t>
      </w:r>
      <w:r>
        <w:rPr>
          <w:rFonts w:hint="eastAsia" w:ascii="仿宋_GB2312" w:hAnsi="宋体" w:eastAsia="仿宋_GB2312"/>
          <w:bCs/>
          <w:sz w:val="32"/>
          <w:szCs w:val="32"/>
        </w:rPr>
        <w:t>结合我校实际情合理分配资金，以达到合理高效地运用资金、提升资金的产出效果、节约成本与资源、提高部门的办事效率的目的</w:t>
      </w:r>
      <w:r>
        <w:rPr>
          <w:rFonts w:hint="eastAsia" w:ascii="仿宋_GB2312" w:eastAsia="仿宋_GB2312"/>
          <w:sz w:val="32"/>
          <w:szCs w:val="32"/>
        </w:rPr>
        <w:t>。发现的问题及原因：一是</w:t>
      </w:r>
      <w:r>
        <w:rPr>
          <w:rFonts w:hint="eastAsia" w:ascii="仿宋_GB2312" w:hAnsi="宋体" w:eastAsia="仿宋_GB2312"/>
          <w:bCs/>
          <w:sz w:val="32"/>
          <w:szCs w:val="32"/>
        </w:rPr>
        <w:t>未健全公务卡强制结算目录，发生的差旅费、培训费等经费支出，除按规定实行财政直接支付或者银行转账外，应当使用公务卡结算，而不能通过个人银行卡进行核算和报销</w:t>
      </w:r>
      <w:r>
        <w:rPr>
          <w:rFonts w:hint="eastAsia" w:ascii="仿宋_GB2312" w:eastAsia="仿宋_GB2312"/>
          <w:sz w:val="32"/>
          <w:szCs w:val="32"/>
        </w:rPr>
        <w:t>；二是</w:t>
      </w:r>
      <w:r>
        <w:rPr>
          <w:rFonts w:hint="eastAsia" w:ascii="仿宋_GB2312" w:hAnsi="宋体" w:eastAsia="仿宋_GB2312"/>
          <w:bCs/>
          <w:sz w:val="32"/>
          <w:szCs w:val="32"/>
        </w:rPr>
        <w:t>未定期或者不定期对资产进行盘点、对账。出现资产盘盈盘亏，报废的因各种原因未及时做资产减少，出现账实不符和账账不符的现象</w:t>
      </w:r>
      <w:r>
        <w:rPr>
          <w:rFonts w:hint="eastAsia" w:ascii="仿宋_GB2312" w:eastAsia="仿宋_GB2312"/>
          <w:sz w:val="32"/>
          <w:szCs w:val="32"/>
        </w:rPr>
        <w:t>。下一步改进措施：一是</w:t>
      </w:r>
      <w:r>
        <w:rPr>
          <w:rFonts w:hint="eastAsia" w:ascii="仿宋_GB2312" w:hAnsi="宋体" w:eastAsia="仿宋_GB2312"/>
          <w:bCs/>
          <w:sz w:val="32"/>
          <w:szCs w:val="32"/>
        </w:rPr>
        <w:t>加强财务管理，严把财务审批，加强单位财务管理，健全单位财务管理制度，规范财务行为，把制度落到实处</w:t>
      </w:r>
      <w:r>
        <w:rPr>
          <w:rFonts w:hint="eastAsia" w:ascii="仿宋_GB2312" w:eastAsia="仿宋_GB2312"/>
          <w:sz w:val="32"/>
          <w:szCs w:val="32"/>
        </w:rPr>
        <w:t>；二是</w:t>
      </w:r>
      <w:r>
        <w:rPr>
          <w:rFonts w:hint="eastAsia" w:ascii="仿宋_GB2312" w:hAnsi="宋体" w:eastAsia="仿宋_GB2312"/>
          <w:bCs/>
          <w:sz w:val="32"/>
          <w:szCs w:val="32"/>
        </w:rPr>
        <w:t>资产管理要对资产从取得到退出的全过程实施动态管理；应当定期或者不定期对资产进行盘点、对账应当按照财务、会计和资产管理制度有关规定处理，资产管理要做到四相符：账表相符、账账相符、帐卡相符、账实相符</w:t>
      </w:r>
      <w:r>
        <w:rPr>
          <w:rFonts w:hint="eastAsia" w:ascii="仿宋_GB2312" w:eastAsia="仿宋_GB2312"/>
          <w:sz w:val="32"/>
          <w:szCs w:val="32"/>
        </w:rPr>
        <w:t>。具体项目自评情况附绩效自评表及自评报告。</w:t>
      </w:r>
    </w:p>
    <w:tbl>
      <w:tblPr>
        <w:tblStyle w:val="9"/>
        <w:tblW w:w="5000" w:type="pct"/>
        <w:tblInd w:w="0" w:type="dxa"/>
        <w:tblLayout w:type="autofit"/>
        <w:tblCellMar>
          <w:top w:w="0" w:type="dxa"/>
          <w:left w:w="108" w:type="dxa"/>
          <w:bottom w:w="0" w:type="dxa"/>
          <w:right w:w="108" w:type="dxa"/>
        </w:tblCellMar>
      </w:tblPr>
      <w:tblGrid>
        <w:gridCol w:w="1816"/>
        <w:gridCol w:w="1016"/>
        <w:gridCol w:w="1233"/>
        <w:gridCol w:w="858"/>
        <w:gridCol w:w="1083"/>
        <w:gridCol w:w="726"/>
        <w:gridCol w:w="987"/>
        <w:gridCol w:w="803"/>
      </w:tblGrid>
      <w:tr>
        <w:tblPrEx>
          <w:tblCellMar>
            <w:top w:w="0" w:type="dxa"/>
            <w:left w:w="108" w:type="dxa"/>
            <w:bottom w:w="0" w:type="dxa"/>
            <w:right w:w="108" w:type="dxa"/>
          </w:tblCellMar>
        </w:tblPrEx>
        <w:trPr>
          <w:trHeight w:val="522"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tblPrEx>
          <w:tblCellMar>
            <w:top w:w="0" w:type="dxa"/>
            <w:left w:w="108" w:type="dxa"/>
            <w:bottom w:w="0" w:type="dxa"/>
            <w:right w:w="108" w:type="dxa"/>
          </w:tblCellMar>
        </w:tblPrEx>
        <w:trPr>
          <w:trHeight w:val="360"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tblPrEx>
          <w:tblCellMar>
            <w:top w:w="0" w:type="dxa"/>
            <w:left w:w="108" w:type="dxa"/>
            <w:bottom w:w="0" w:type="dxa"/>
            <w:right w:w="108" w:type="dxa"/>
          </w:tblCellMar>
        </w:tblPrEx>
        <w:trPr>
          <w:trHeight w:val="660" w:hRule="atLeast"/>
        </w:trPr>
        <w:tc>
          <w:tcPr>
            <w:tcW w:w="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4024"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木垒县第二双语幼儿园</w:t>
            </w:r>
          </w:p>
        </w:tc>
      </w:tr>
      <w:tr>
        <w:tblPrEx>
          <w:tblCellMar>
            <w:top w:w="0" w:type="dxa"/>
            <w:left w:w="108" w:type="dxa"/>
            <w:bottom w:w="0" w:type="dxa"/>
            <w:right w:w="108" w:type="dxa"/>
          </w:tblCellMar>
        </w:tblPrEx>
        <w:trPr>
          <w:trHeight w:val="570" w:hRule="atLeast"/>
        </w:trPr>
        <w:tc>
          <w:tcPr>
            <w:tcW w:w="9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tblPrEx>
          <w:tblCellMar>
            <w:top w:w="0" w:type="dxa"/>
            <w:left w:w="108" w:type="dxa"/>
            <w:bottom w:w="0" w:type="dxa"/>
            <w:right w:w="108" w:type="dxa"/>
          </w:tblCellMar>
        </w:tblPrEx>
        <w:trPr>
          <w:trHeight w:val="88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29.18</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138.59</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138.59</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88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88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88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bookmarkStart w:id="48" w:name="_GoBack" w:colFirst="5" w:colLast="7"/>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319.76</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ascii="宋体" w:hAnsi="宋体" w:cs="宋体"/>
                <w:color w:val="000000"/>
                <w:kern w:val="0"/>
                <w:sz w:val="20"/>
                <w:szCs w:val="20"/>
                <w:lang w:bidi="ar"/>
              </w:rPr>
              <w:t>377.83</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361.80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r>
      <w:tr>
        <w:tblPrEx>
          <w:tblCellMar>
            <w:top w:w="0" w:type="dxa"/>
            <w:left w:w="108" w:type="dxa"/>
            <w:bottom w:w="0" w:type="dxa"/>
            <w:right w:w="108" w:type="dxa"/>
          </w:tblCellMar>
        </w:tblPrEx>
        <w:trPr>
          <w:trHeight w:val="88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r>
      <w:bookmarkEnd w:id="48"/>
      <w:tr>
        <w:tblPrEx>
          <w:tblCellMar>
            <w:top w:w="0" w:type="dxa"/>
            <w:left w:w="108" w:type="dxa"/>
            <w:bottom w:w="0" w:type="dxa"/>
            <w:right w:w="108" w:type="dxa"/>
          </w:tblCellMar>
        </w:tblPrEx>
        <w:trPr>
          <w:trHeight w:val="88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378.13</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ascii="宋体" w:hAnsi="宋体" w:cs="宋体"/>
                <w:color w:val="000000"/>
                <w:kern w:val="0"/>
                <w:sz w:val="20"/>
                <w:szCs w:val="20"/>
                <w:lang w:bidi="ar"/>
              </w:rPr>
              <w:t>516.42</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500.39</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705" w:hRule="atLeast"/>
        </w:trPr>
        <w:tc>
          <w:tcPr>
            <w:tcW w:w="9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183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218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tblPrEx>
          <w:tblCellMar>
            <w:top w:w="0" w:type="dxa"/>
            <w:left w:w="108" w:type="dxa"/>
            <w:bottom w:w="0" w:type="dxa"/>
            <w:right w:w="108" w:type="dxa"/>
          </w:tblCellMar>
        </w:tblPrEx>
        <w:trPr>
          <w:trHeight w:val="200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83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目标1：宣传贯彻执行党和国家的教育方针、政策、法律法规等坚持依法执教、依法治学，贯彻执行县教育局的行政规章制度；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目标2：组织开展本校的教育科学科研和教育教学改革，全力推进素质教育实施；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目标3：按照学前教育课程计划，开齐课程，开足课时，认真实施幼儿园的教育教学管理，全面推进素质教育，全面提高教育教学质量；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目标4：负责本校财务和基建管理，筹措资金，改善办学条件等工作；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目标5：及时、足额的发放在职职工工资、缴纳社保等人员经费、独生子女奖励金、学生助学金、保障学校的正常运行。</w:t>
            </w:r>
          </w:p>
        </w:tc>
        <w:tc>
          <w:tcPr>
            <w:tcW w:w="218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截止2023年12月31日，我单位已完成学前教育入学数量344人，开展教研活动数量50次，开展班主任、德育教师国培培训数量10次，开展教师送教下乡、外出讲大赛课、外出听课次数10次，保障片区适龄幼儿及时入园</w:t>
            </w:r>
          </w:p>
        </w:tc>
      </w:tr>
      <w:tr>
        <w:tblPrEx>
          <w:tblCellMar>
            <w:top w:w="0" w:type="dxa"/>
            <w:left w:w="108" w:type="dxa"/>
            <w:bottom w:w="0" w:type="dxa"/>
            <w:right w:w="108" w:type="dxa"/>
          </w:tblCellMar>
        </w:tblPrEx>
        <w:trPr>
          <w:trHeight w:val="580" w:hRule="atLeast"/>
        </w:trPr>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tblPrEx>
          <w:tblCellMar>
            <w:top w:w="0" w:type="dxa"/>
            <w:left w:w="108" w:type="dxa"/>
            <w:bottom w:w="0" w:type="dxa"/>
            <w:right w:w="108" w:type="dxa"/>
          </w:tblCellMar>
        </w:tblPrEx>
        <w:trPr>
          <w:trHeight w:val="740" w:hRule="atLeast"/>
        </w:trPr>
        <w:tc>
          <w:tcPr>
            <w:tcW w:w="9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5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&gt;=23人</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木垒哈萨克自治县第二幼儿园机构改革方案</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23人</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tblPrEx>
          <w:tblCellMar>
            <w:top w:w="0" w:type="dxa"/>
            <w:left w:w="108" w:type="dxa"/>
            <w:bottom w:w="0" w:type="dxa"/>
            <w:right w:w="108" w:type="dxa"/>
          </w:tblCellMar>
        </w:tblPrEx>
        <w:trPr>
          <w:trHeight w:val="74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5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房屋建筑物供暖面积</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&gt;=6064平方米</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木垒哈萨克自治县第二幼儿园机构改革方案</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6064平方米</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tblPrEx>
          <w:tblCellMar>
            <w:top w:w="0" w:type="dxa"/>
            <w:left w:w="108" w:type="dxa"/>
            <w:bottom w:w="0" w:type="dxa"/>
            <w:right w:w="108" w:type="dxa"/>
          </w:tblCellMar>
        </w:tblPrEx>
        <w:trPr>
          <w:trHeight w:val="740" w:hRule="atLeast"/>
        </w:trPr>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5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740" w:hRule="atLeast"/>
        </w:trPr>
        <w:tc>
          <w:tcPr>
            <w:tcW w:w="9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5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管理学生人数</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&gt;=382人</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木垒县第二幼儿园2023年工作计划</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382人</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r>
      <w:tr>
        <w:tblPrEx>
          <w:tblCellMar>
            <w:top w:w="0" w:type="dxa"/>
            <w:left w:w="108" w:type="dxa"/>
            <w:bottom w:w="0" w:type="dxa"/>
            <w:right w:w="108" w:type="dxa"/>
          </w:tblCellMar>
        </w:tblPrEx>
        <w:trPr>
          <w:trHeight w:val="74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5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开展教师培训量</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&gt;=3次</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木垒县第二幼儿园2023年工作计划</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3次</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5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教学质量分析会</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&gt;=2次</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木垒县第二幼儿园2023年工作计划</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r>
      <w:tr>
        <w:tblPrEx>
          <w:tblCellMar>
            <w:top w:w="0" w:type="dxa"/>
            <w:left w:w="108" w:type="dxa"/>
            <w:bottom w:w="0" w:type="dxa"/>
            <w:right w:w="108" w:type="dxa"/>
          </w:tblCellMar>
        </w:tblPrEx>
        <w:trPr>
          <w:trHeight w:val="74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5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教师培训参培率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&gt;=20次</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木垒县第二幼儿园2023年工作计划</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20次</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tblPrEx>
          <w:tblCellMar>
            <w:top w:w="0" w:type="dxa"/>
            <w:left w:w="108" w:type="dxa"/>
            <w:bottom w:w="0" w:type="dxa"/>
            <w:right w:w="108" w:type="dxa"/>
          </w:tblCellMar>
        </w:tblPrEx>
        <w:trPr>
          <w:trHeight w:val="74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5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幼儿出勤率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木垒县第二幼儿园2023年工作计划</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r>
      <w:tr>
        <w:tblPrEx>
          <w:tblCellMar>
            <w:top w:w="0" w:type="dxa"/>
            <w:left w:w="108" w:type="dxa"/>
            <w:bottom w:w="0" w:type="dxa"/>
            <w:right w:w="108" w:type="dxa"/>
          </w:tblCellMar>
        </w:tblPrEx>
        <w:trPr>
          <w:trHeight w:val="74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5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饮食安全保障率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木垒县第二幼儿园2023年工作计划</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r>
      <w:tr>
        <w:tblPrEx>
          <w:tblCellMar>
            <w:top w:w="0" w:type="dxa"/>
            <w:left w:w="108" w:type="dxa"/>
            <w:bottom w:w="0" w:type="dxa"/>
            <w:right w:w="108" w:type="dxa"/>
          </w:tblCellMar>
        </w:tblPrEx>
        <w:trPr>
          <w:trHeight w:val="740" w:hRule="atLeast"/>
        </w:trPr>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5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教师培训合格率</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木垒县第二幼儿园2023年工作计划</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tblPrEx>
          <w:tblCellMar>
            <w:top w:w="0" w:type="dxa"/>
            <w:left w:w="108" w:type="dxa"/>
            <w:bottom w:w="0" w:type="dxa"/>
            <w:right w:w="108" w:type="dxa"/>
          </w:tblCellMar>
        </w:tblPrEx>
        <w:trPr>
          <w:trHeight w:val="740" w:hRule="atLeast"/>
        </w:trPr>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5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740" w:hRule="atLeast"/>
        </w:trPr>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5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740" w:hRule="atLeast"/>
        </w:trPr>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5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7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家长满意度</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木垒县第二幼儿园2023年工作计划</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4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r>
    </w:tbl>
    <w:p>
      <w:pPr>
        <w:ind w:firstLine="640" w:firstLineChars="200"/>
        <w:jc w:val="left"/>
        <w:rPr>
          <w:rFonts w:ascii="仿宋_GB2312" w:eastAsia="仿宋_GB2312"/>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4241E1"/>
    <w:rsid w:val="000D623B"/>
    <w:rsid w:val="00143DA4"/>
    <w:rsid w:val="00213C59"/>
    <w:rsid w:val="003210CE"/>
    <w:rsid w:val="00354D24"/>
    <w:rsid w:val="004241E1"/>
    <w:rsid w:val="004A5732"/>
    <w:rsid w:val="0051375A"/>
    <w:rsid w:val="006B5C69"/>
    <w:rsid w:val="006F175F"/>
    <w:rsid w:val="008043BA"/>
    <w:rsid w:val="00B70D59"/>
    <w:rsid w:val="00C6420D"/>
    <w:rsid w:val="00C90F3C"/>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CE045F1"/>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5B6F0B"/>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8789A"/>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3753CA"/>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5489</Words>
  <Characters>6177</Characters>
  <Lines>51</Lines>
  <Paragraphs>14</Paragraphs>
  <TotalTime>14</TotalTime>
  <ScaleCrop>false</ScaleCrop>
  <LinksUpToDate>false</LinksUpToDate>
  <CharactersWithSpaces>6193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2024-09-02T09:47:08Z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